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88" w:type="dxa"/>
        <w:tblLayout w:type="fixed"/>
        <w:tblLook w:val="0000" w:firstRow="0" w:lastRow="0" w:firstColumn="0" w:lastColumn="0" w:noHBand="0" w:noVBand="0"/>
      </w:tblPr>
      <w:tblGrid>
        <w:gridCol w:w="6048"/>
        <w:gridCol w:w="9540"/>
      </w:tblGrid>
      <w:tr w:rsidR="001A2924" w:rsidRPr="00315FE4" w:rsidTr="001A2924">
        <w:trPr>
          <w:cantSplit/>
          <w:trHeight w:val="993"/>
        </w:trPr>
        <w:tc>
          <w:tcPr>
            <w:tcW w:w="6048" w:type="dxa"/>
            <w:tcBorders>
              <w:top w:val="nil"/>
              <w:left w:val="nil"/>
              <w:bottom w:val="nil"/>
              <w:right w:val="nil"/>
            </w:tcBorders>
          </w:tcPr>
          <w:p w:rsidR="001A2924" w:rsidRPr="0019642F" w:rsidRDefault="0019642F" w:rsidP="005422E9">
            <w:pPr>
              <w:ind w:left="-57" w:right="-57"/>
              <w:jc w:val="center"/>
              <w:rPr>
                <w:bCs/>
                <w:sz w:val="28"/>
                <w:szCs w:val="28"/>
              </w:rPr>
            </w:pPr>
            <w:bookmarkStart w:id="0" w:name="_GoBack"/>
            <w:r w:rsidRPr="0019642F">
              <w:rPr>
                <w:bCs/>
                <w:sz w:val="28"/>
                <w:szCs w:val="28"/>
              </w:rPr>
              <w:t xml:space="preserve">UBND </w:t>
            </w:r>
            <w:r w:rsidR="001A2924" w:rsidRPr="0019642F">
              <w:rPr>
                <w:bCs/>
                <w:sz w:val="28"/>
                <w:szCs w:val="28"/>
              </w:rPr>
              <w:t>TỈNH NINH THUẬN</w:t>
            </w:r>
          </w:p>
          <w:p w:rsidR="0019642F" w:rsidRPr="00012D1E" w:rsidRDefault="0019642F" w:rsidP="005422E9">
            <w:pPr>
              <w:ind w:left="-57" w:right="-57"/>
              <w:jc w:val="center"/>
              <w:rPr>
                <w:b/>
                <w:bCs/>
                <w:sz w:val="28"/>
                <w:szCs w:val="28"/>
              </w:rPr>
            </w:pPr>
            <w:r>
              <w:rPr>
                <w:b/>
                <w:bCs/>
                <w:sz w:val="28"/>
                <w:szCs w:val="28"/>
              </w:rPr>
              <w:t>SỞ KHOA HỌC VÀ CÔNG NGHỆ</w:t>
            </w:r>
          </w:p>
          <w:p w:rsidR="001A2924" w:rsidRPr="001A2924" w:rsidRDefault="00135110" w:rsidP="001A2924">
            <w:pPr>
              <w:ind w:left="-57" w:right="-57"/>
              <w:jc w:val="center"/>
              <w:rPr>
                <w:b/>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1393190</wp:posOffset>
                      </wp:positionH>
                      <wp:positionV relativeFrom="paragraph">
                        <wp:posOffset>21590</wp:posOffset>
                      </wp:positionV>
                      <wp:extent cx="828675"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1.7pt" to="17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kHAIAADU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0W2mD/NMKKDKyH5kKeNdZ84dCgYBZZCBdVITk4v1gUe&#10;JB9CwrGCrZAydl4q1Bd4OctmMcGCFCw4Q5g1zaGUBp1ImJ34xaK85zHMwFGxCNZywjY32xEhr7a/&#10;XKqA5yvxdG7WdTh+LCfLzWKzmI6m2Xwzmk6qavRxW05H8236NKs+VGVZpT8DtXSat4IxrgK7YVDT&#10;6d8Nwu3JXEfsPqp3GZK36FEvT3b4R9KxlaF71zk4ALvszNBiP5sx+PaOwvA/7r39+NrXvwAAAP//&#10;AwBQSwMEFAAGAAgAAAAhABnJNpTbAAAABwEAAA8AAABkcnMvZG93bnJldi54bWxMjkFPg0AUhO8m&#10;/ofNM/HStEuhMQVZGqNy82LVeH2FJxDZt5Tdtuiv99mLniaTmcx8+WayvTrS6DvHBpaLCBRx5eqO&#10;GwOvL+V8DcoH5Bp7x2TgizxsisuLHLPanfiZjtvQKBlhn6GBNoQh09pXLVn0CzcQS/bhRotB7Njo&#10;esSTjNtex1F0oy12LA8tDnTfUvW5PVgDvnyjffk9q2bRe9I4ivcPT49ozPXVdHcLKtAU/srwiy/o&#10;UAjTzh249qo3EC/TlVQNJCKSJ6s0BbU7e13k+j9/8QMAAP//AwBQSwECLQAUAAYACAAAACEAtoM4&#10;kv4AAADhAQAAEwAAAAAAAAAAAAAAAAAAAAAAW0NvbnRlbnRfVHlwZXNdLnhtbFBLAQItABQABgAI&#10;AAAAIQA4/SH/1gAAAJQBAAALAAAAAAAAAAAAAAAAAC8BAABfcmVscy8ucmVsc1BLAQItABQABgAI&#10;AAAAIQDS9u+kHAIAADUEAAAOAAAAAAAAAAAAAAAAAC4CAABkcnMvZTJvRG9jLnhtbFBLAQItABQA&#10;BgAIAAAAIQAZyTaU2wAAAAcBAAAPAAAAAAAAAAAAAAAAAHYEAABkcnMvZG93bnJldi54bWxQSwUG&#10;AAAAAAQABADzAAAAfgUAAAAA&#10;"/>
                  </w:pict>
                </mc:Fallback>
              </mc:AlternateContent>
            </w:r>
          </w:p>
        </w:tc>
        <w:tc>
          <w:tcPr>
            <w:tcW w:w="9540" w:type="dxa"/>
            <w:tcBorders>
              <w:top w:val="nil"/>
              <w:left w:val="nil"/>
              <w:right w:val="nil"/>
            </w:tcBorders>
          </w:tcPr>
          <w:p w:rsidR="001A2924" w:rsidRPr="00012D1E" w:rsidRDefault="001A2924" w:rsidP="005422E9">
            <w:pPr>
              <w:jc w:val="center"/>
              <w:rPr>
                <w:b/>
                <w:bCs/>
                <w:sz w:val="28"/>
                <w:szCs w:val="28"/>
              </w:rPr>
            </w:pPr>
            <w:r w:rsidRPr="00012D1E">
              <w:rPr>
                <w:b/>
                <w:bCs/>
                <w:sz w:val="28"/>
                <w:szCs w:val="28"/>
              </w:rPr>
              <w:t xml:space="preserve">CỘNG HOÀ XÃ HỘI CHỦ NGHĨA VIỆT </w:t>
            </w:r>
            <w:smartTag w:uri="urn:schemas-microsoft-com:office:smarttags" w:element="place">
              <w:smartTag w:uri="urn:schemas-microsoft-com:office:smarttags" w:element="country-region">
                <w:r w:rsidRPr="00012D1E">
                  <w:rPr>
                    <w:b/>
                    <w:bCs/>
                    <w:sz w:val="28"/>
                    <w:szCs w:val="28"/>
                  </w:rPr>
                  <w:t>NAM</w:t>
                </w:r>
              </w:smartTag>
            </w:smartTag>
          </w:p>
          <w:p w:rsidR="001A2924" w:rsidRPr="00012D1E" w:rsidRDefault="001A2924" w:rsidP="005422E9">
            <w:pPr>
              <w:jc w:val="center"/>
              <w:rPr>
                <w:b/>
                <w:bCs/>
                <w:sz w:val="28"/>
                <w:szCs w:val="28"/>
              </w:rPr>
            </w:pPr>
            <w:r w:rsidRPr="00012D1E">
              <w:rPr>
                <w:b/>
                <w:bCs/>
                <w:sz w:val="28"/>
                <w:szCs w:val="28"/>
              </w:rPr>
              <w:t>Độc lập - Tự do - Hạnh phúc</w:t>
            </w:r>
          </w:p>
          <w:p w:rsidR="001A2924" w:rsidRPr="00012D1E" w:rsidRDefault="00135110" w:rsidP="005422E9">
            <w:pPr>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2007235</wp:posOffset>
                      </wp:positionH>
                      <wp:positionV relativeFrom="paragraph">
                        <wp:posOffset>104775</wp:posOffset>
                      </wp:positionV>
                      <wp:extent cx="1981200" cy="0"/>
                      <wp:effectExtent l="635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05pt,8.25pt" to="31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CbtCi7cAAAACQEAAA8AAABkcnMvZG93bnJldi54bWxMj8FOwzAQRO9I&#10;/IO1SFwq6iQVURXiVAjIjQsFxHUbL0lEvE5jtw18PYs4wHFnnmZnys3sBnWkKfSeDaTLBBRx423P&#10;rYGX5/pqDSpEZIuDZzLwSQE21flZiYX1J36i4za2SkI4FGigi3EstA5NRw7D0o/E4r37yWGUc2q1&#10;nfAk4W7QWZLk2mHP8qHDke46aj62B2cg1K+0r78WzSJ5W7Wesv394wMac3kx396AijTHPxh+6kt1&#10;qKTTzh/YBjUYWKV5KqgY+TUoAfJsLcLuV9BVqf8vqL4BAAD//wMAUEsBAi0AFAAGAAgAAAAhALaD&#10;OJL+AAAA4QEAABMAAAAAAAAAAAAAAAAAAAAAAFtDb250ZW50X1R5cGVzXS54bWxQSwECLQAUAAYA&#10;CAAAACEAOP0h/9YAAACUAQAACwAAAAAAAAAAAAAAAAAvAQAAX3JlbHMvLnJlbHNQSwECLQAUAAYA&#10;CAAAACEAyQ+kIxwCAAA2BAAADgAAAAAAAAAAAAAAAAAuAgAAZHJzL2Uyb0RvYy54bWxQSwECLQAU&#10;AAYACAAAACEAJu0KLtwAAAAJAQAADwAAAAAAAAAAAAAAAAB2BAAAZHJzL2Rvd25yZXYueG1sUEsF&#10;BgAAAAAEAAQA8wAAAH8FAAAAAA==&#10;"/>
                  </w:pict>
                </mc:Fallback>
              </mc:AlternateContent>
            </w:r>
          </w:p>
        </w:tc>
      </w:tr>
    </w:tbl>
    <w:p w:rsidR="009804E1" w:rsidRPr="00D54FB0" w:rsidRDefault="009804E1" w:rsidP="0019642F">
      <w:pPr>
        <w:pStyle w:val="Heading1"/>
        <w:spacing w:before="0"/>
        <w:jc w:val="center"/>
        <w:rPr>
          <w:rFonts w:ascii="Times New Roman" w:hAnsi="Times New Roman"/>
          <w:color w:val="auto"/>
        </w:rPr>
      </w:pPr>
      <w:r w:rsidRPr="00D54FB0">
        <w:rPr>
          <w:rFonts w:ascii="Times New Roman" w:hAnsi="Times New Roman"/>
          <w:color w:val="auto"/>
        </w:rPr>
        <w:t xml:space="preserve">DANH MỤC NHIỆM VỤ </w:t>
      </w:r>
      <w:r>
        <w:rPr>
          <w:rFonts w:ascii="Times New Roman" w:hAnsi="Times New Roman"/>
          <w:color w:val="auto"/>
        </w:rPr>
        <w:t xml:space="preserve">KHOA HỌC VÀ CÔNG NGHỆ </w:t>
      </w:r>
      <w:r w:rsidR="0019642F">
        <w:rPr>
          <w:rFonts w:ascii="Times New Roman" w:hAnsi="Times New Roman"/>
          <w:color w:val="auto"/>
        </w:rPr>
        <w:t>TUYỂN CHỌ</w:t>
      </w:r>
      <w:r w:rsidR="008346D4">
        <w:rPr>
          <w:rFonts w:ascii="Times New Roman" w:hAnsi="Times New Roman"/>
          <w:color w:val="auto"/>
        </w:rPr>
        <w:t>N</w:t>
      </w:r>
      <w:r w:rsidR="0019642F">
        <w:rPr>
          <w:rFonts w:ascii="Times New Roman" w:hAnsi="Times New Roman"/>
          <w:color w:val="auto"/>
        </w:rPr>
        <w:t xml:space="preserve"> TỔ CHỨC, CÁ NHÂN CHỦ TRÌ</w:t>
      </w:r>
    </w:p>
    <w:p w:rsidR="009804E1" w:rsidRPr="00F16EF2" w:rsidRDefault="00FB7FCE" w:rsidP="00F16EF2">
      <w:pPr>
        <w:pStyle w:val="Giua"/>
      </w:pPr>
      <w:r>
        <w:t xml:space="preserve"> (K</w:t>
      </w:r>
      <w:r w:rsidR="0019642F" w:rsidRPr="00F16EF2">
        <w:t>èm theo Thông báo</w:t>
      </w:r>
      <w:r w:rsidR="009804E1" w:rsidRPr="00F16EF2">
        <w:t xml:space="preserve"> số </w:t>
      </w:r>
      <w:r w:rsidR="00F622C7">
        <w:t xml:space="preserve">        </w:t>
      </w:r>
      <w:r w:rsidR="0019642F" w:rsidRPr="00F16EF2">
        <w:t>/TB-SKHCN</w:t>
      </w:r>
      <w:r w:rsidR="009804E1" w:rsidRPr="00F16EF2">
        <w:t xml:space="preserve"> ngày</w:t>
      </w:r>
      <w:r w:rsidR="006B505F">
        <w:t xml:space="preserve">    </w:t>
      </w:r>
      <w:r w:rsidR="00F622C7">
        <w:t xml:space="preserve"> </w:t>
      </w:r>
      <w:r w:rsidR="005A059D">
        <w:t xml:space="preserve"> </w:t>
      </w:r>
      <w:r w:rsidR="009804E1" w:rsidRPr="00F16EF2">
        <w:t>/</w:t>
      </w:r>
      <w:r w:rsidR="006B505F">
        <w:t>0</w:t>
      </w:r>
      <w:r w:rsidR="005A059D">
        <w:t>2</w:t>
      </w:r>
      <w:r w:rsidR="009804E1" w:rsidRPr="00F16EF2">
        <w:t>/202</w:t>
      </w:r>
      <w:r w:rsidR="006B505F">
        <w:t>3</w:t>
      </w:r>
      <w:r w:rsidR="006855FF" w:rsidRPr="00F16EF2">
        <w:t xml:space="preserve"> </w:t>
      </w:r>
      <w:r w:rsidR="009804E1" w:rsidRPr="00F16EF2">
        <w:t xml:space="preserve">của </w:t>
      </w:r>
      <w:r w:rsidR="0019642F" w:rsidRPr="00F16EF2">
        <w:t>Sở K</w:t>
      </w:r>
      <w:r>
        <w:t>hoa học và Công nghệ tỉnh Ninh Thuận</w:t>
      </w:r>
      <w:r w:rsidR="00E74F51" w:rsidRPr="00F16EF2">
        <w:t>)</w:t>
      </w:r>
    </w:p>
    <w:p w:rsidR="009804E1" w:rsidRDefault="009804E1" w:rsidP="00F16EF2">
      <w:pPr>
        <w:pStyle w:val="Giua"/>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2"/>
        <w:gridCol w:w="7655"/>
        <w:gridCol w:w="3551"/>
        <w:gridCol w:w="1836"/>
      </w:tblGrid>
      <w:tr w:rsidR="009804E1" w:rsidRPr="00932A50" w:rsidTr="005A059D">
        <w:trPr>
          <w:trHeight w:val="684"/>
          <w:tblHeader/>
        </w:trPr>
        <w:tc>
          <w:tcPr>
            <w:tcW w:w="217" w:type="pct"/>
            <w:shd w:val="clear" w:color="auto" w:fill="auto"/>
            <w:vAlign w:val="center"/>
          </w:tcPr>
          <w:p w:rsidR="009804E1" w:rsidRPr="00932A50" w:rsidRDefault="009804E1" w:rsidP="005A059D">
            <w:pPr>
              <w:ind w:left="-142" w:right="-109"/>
              <w:jc w:val="center"/>
              <w:rPr>
                <w:b/>
                <w:bCs/>
                <w:sz w:val="28"/>
                <w:szCs w:val="28"/>
              </w:rPr>
            </w:pPr>
            <w:r w:rsidRPr="00932A50">
              <w:rPr>
                <w:b/>
                <w:bCs/>
                <w:sz w:val="28"/>
                <w:szCs w:val="28"/>
              </w:rPr>
              <w:t>TT</w:t>
            </w:r>
          </w:p>
        </w:tc>
        <w:tc>
          <w:tcPr>
            <w:tcW w:w="592" w:type="pct"/>
            <w:shd w:val="clear" w:color="auto" w:fill="auto"/>
            <w:vAlign w:val="center"/>
          </w:tcPr>
          <w:p w:rsidR="009804E1" w:rsidRPr="00932A50" w:rsidRDefault="009804E1" w:rsidP="005A059D">
            <w:pPr>
              <w:ind w:right="-109"/>
              <w:jc w:val="center"/>
              <w:rPr>
                <w:b/>
                <w:bCs/>
                <w:sz w:val="28"/>
                <w:szCs w:val="28"/>
              </w:rPr>
            </w:pPr>
            <w:r w:rsidRPr="00932A50">
              <w:rPr>
                <w:b/>
                <w:bCs/>
                <w:sz w:val="28"/>
                <w:szCs w:val="28"/>
              </w:rPr>
              <w:t>Tên nhiệm vụ</w:t>
            </w:r>
          </w:p>
        </w:tc>
        <w:tc>
          <w:tcPr>
            <w:tcW w:w="2460" w:type="pct"/>
            <w:vAlign w:val="center"/>
          </w:tcPr>
          <w:p w:rsidR="009804E1" w:rsidRPr="00932A50" w:rsidRDefault="009804E1" w:rsidP="005A059D">
            <w:pPr>
              <w:ind w:right="-109"/>
              <w:jc w:val="center"/>
              <w:rPr>
                <w:b/>
                <w:bCs/>
                <w:sz w:val="28"/>
                <w:szCs w:val="28"/>
              </w:rPr>
            </w:pPr>
            <w:r w:rsidRPr="00932A50">
              <w:rPr>
                <w:b/>
                <w:bCs/>
                <w:sz w:val="28"/>
                <w:szCs w:val="28"/>
              </w:rPr>
              <w:t>Định hướng mục tiêu</w:t>
            </w:r>
          </w:p>
        </w:tc>
        <w:tc>
          <w:tcPr>
            <w:tcW w:w="1141" w:type="pct"/>
            <w:vAlign w:val="center"/>
          </w:tcPr>
          <w:p w:rsidR="009804E1" w:rsidRPr="00932A50" w:rsidRDefault="009804E1" w:rsidP="005A059D">
            <w:pPr>
              <w:ind w:right="-109"/>
              <w:jc w:val="center"/>
              <w:rPr>
                <w:b/>
                <w:bCs/>
                <w:sz w:val="28"/>
                <w:szCs w:val="28"/>
              </w:rPr>
            </w:pPr>
            <w:r w:rsidRPr="00932A50">
              <w:rPr>
                <w:b/>
                <w:bCs/>
                <w:sz w:val="28"/>
                <w:szCs w:val="28"/>
              </w:rPr>
              <w:t>Sản phẩm dự kiến</w:t>
            </w:r>
          </w:p>
        </w:tc>
        <w:tc>
          <w:tcPr>
            <w:tcW w:w="590" w:type="pct"/>
            <w:shd w:val="clear" w:color="auto" w:fill="auto"/>
            <w:vAlign w:val="center"/>
          </w:tcPr>
          <w:p w:rsidR="001368A8" w:rsidRPr="00932A50" w:rsidRDefault="009804E1" w:rsidP="005A059D">
            <w:pPr>
              <w:ind w:right="-109"/>
              <w:jc w:val="center"/>
              <w:rPr>
                <w:b/>
                <w:bCs/>
                <w:sz w:val="28"/>
                <w:szCs w:val="28"/>
              </w:rPr>
            </w:pPr>
            <w:r w:rsidRPr="00932A50">
              <w:rPr>
                <w:b/>
                <w:bCs/>
                <w:sz w:val="28"/>
                <w:szCs w:val="28"/>
              </w:rPr>
              <w:t>Phương thức</w:t>
            </w:r>
          </w:p>
          <w:p w:rsidR="009804E1" w:rsidRPr="00932A50" w:rsidRDefault="009804E1" w:rsidP="005A059D">
            <w:pPr>
              <w:ind w:right="-109"/>
              <w:jc w:val="center"/>
              <w:rPr>
                <w:bCs/>
                <w:i/>
                <w:sz w:val="28"/>
                <w:szCs w:val="28"/>
              </w:rPr>
            </w:pPr>
            <w:r w:rsidRPr="00932A50">
              <w:rPr>
                <w:b/>
                <w:bCs/>
                <w:sz w:val="28"/>
                <w:szCs w:val="28"/>
              </w:rPr>
              <w:t>thực hiện</w:t>
            </w:r>
          </w:p>
        </w:tc>
      </w:tr>
      <w:tr w:rsidR="005A059D" w:rsidRPr="00932A50" w:rsidTr="005A059D">
        <w:tc>
          <w:tcPr>
            <w:tcW w:w="217" w:type="pct"/>
            <w:tcBorders>
              <w:top w:val="single" w:sz="4" w:space="0" w:color="auto"/>
              <w:bottom w:val="single" w:sz="4" w:space="0" w:color="auto"/>
            </w:tcBorders>
            <w:shd w:val="clear" w:color="auto" w:fill="auto"/>
          </w:tcPr>
          <w:p w:rsidR="005A059D" w:rsidRPr="00932A50" w:rsidRDefault="005A059D" w:rsidP="00F16EF2">
            <w:pPr>
              <w:ind w:right="-109"/>
              <w:jc w:val="center"/>
              <w:rPr>
                <w:bCs/>
                <w:sz w:val="28"/>
                <w:szCs w:val="28"/>
              </w:rPr>
            </w:pPr>
            <w:r>
              <w:rPr>
                <w:bCs/>
                <w:sz w:val="28"/>
                <w:szCs w:val="28"/>
              </w:rPr>
              <w:t>1</w:t>
            </w:r>
          </w:p>
        </w:tc>
        <w:tc>
          <w:tcPr>
            <w:tcW w:w="592" w:type="pct"/>
            <w:tcBorders>
              <w:top w:val="single" w:sz="4" w:space="0" w:color="auto"/>
              <w:bottom w:val="single" w:sz="4" w:space="0" w:color="auto"/>
            </w:tcBorders>
            <w:shd w:val="clear" w:color="auto" w:fill="auto"/>
            <w:vAlign w:val="center"/>
          </w:tcPr>
          <w:p w:rsidR="005A059D" w:rsidRPr="007A4DC4" w:rsidRDefault="005A059D" w:rsidP="005A059D">
            <w:pPr>
              <w:rPr>
                <w:sz w:val="28"/>
                <w:szCs w:val="28"/>
                <w:lang w:val="it-IT"/>
              </w:rPr>
            </w:pPr>
            <w:r>
              <w:rPr>
                <w:sz w:val="28"/>
                <w:szCs w:val="28"/>
                <w:lang w:val="it-IT"/>
              </w:rPr>
              <w:t>Đề tài Địa Chí Ninh Thuận</w:t>
            </w:r>
          </w:p>
        </w:tc>
        <w:tc>
          <w:tcPr>
            <w:tcW w:w="2460" w:type="pct"/>
            <w:tcBorders>
              <w:top w:val="single" w:sz="4" w:space="0" w:color="auto"/>
              <w:bottom w:val="single" w:sz="4" w:space="0" w:color="auto"/>
            </w:tcBorders>
            <w:vAlign w:val="center"/>
          </w:tcPr>
          <w:p w:rsidR="005A059D" w:rsidRDefault="005A059D" w:rsidP="005A059D">
            <w:pPr>
              <w:tabs>
                <w:tab w:val="left" w:pos="567"/>
              </w:tabs>
              <w:spacing w:before="120" w:after="120"/>
              <w:jc w:val="both"/>
              <w:rPr>
                <w:i/>
                <w:spacing w:val="-4"/>
                <w:sz w:val="28"/>
                <w:szCs w:val="28"/>
                <w:lang w:val="pt-BR"/>
              </w:rPr>
            </w:pPr>
            <w:r>
              <w:rPr>
                <w:i/>
                <w:spacing w:val="-4"/>
                <w:sz w:val="28"/>
                <w:szCs w:val="28"/>
                <w:lang w:val="pt-BR"/>
              </w:rPr>
              <w:t xml:space="preserve">Mục tiêu chung:  </w:t>
            </w:r>
          </w:p>
          <w:p w:rsidR="005A059D" w:rsidRDefault="005A059D" w:rsidP="005A059D">
            <w:pPr>
              <w:tabs>
                <w:tab w:val="left" w:pos="567"/>
              </w:tabs>
              <w:jc w:val="both"/>
              <w:rPr>
                <w:i/>
                <w:spacing w:val="-4"/>
                <w:sz w:val="28"/>
                <w:szCs w:val="28"/>
                <w:lang w:val="pt-BR"/>
              </w:rPr>
            </w:pPr>
            <w:r>
              <w:rPr>
                <w:sz w:val="28"/>
                <w:szCs w:val="28"/>
              </w:rPr>
              <w:t xml:space="preserve">Biên soạn được Bộ Địa Chí Ninh Thuận theo cấu trúc và phương pháp biên soạn, quy chuẩn về địa phương chí và có sự gắn kết chặt chẽ với Địa chí Quốc gia hiện đang được Thủ tướng Chính phủ giao cho Đại học Quốc gia Hà Nội chủ trì biên soạn. </w:t>
            </w:r>
          </w:p>
          <w:p w:rsidR="005A059D" w:rsidRDefault="005A059D" w:rsidP="005A059D">
            <w:pPr>
              <w:spacing w:before="120" w:after="120"/>
              <w:jc w:val="both"/>
              <w:rPr>
                <w:i/>
                <w:sz w:val="28"/>
                <w:szCs w:val="28"/>
              </w:rPr>
            </w:pPr>
            <w:r>
              <w:rPr>
                <w:i/>
                <w:sz w:val="28"/>
                <w:szCs w:val="28"/>
              </w:rPr>
              <w:t xml:space="preserve">Mục tiêu cụ thể: </w:t>
            </w:r>
          </w:p>
          <w:p w:rsidR="005A059D" w:rsidRDefault="005A059D" w:rsidP="005A059D">
            <w:pPr>
              <w:jc w:val="both"/>
              <w:rPr>
                <w:sz w:val="28"/>
                <w:szCs w:val="28"/>
              </w:rPr>
            </w:pPr>
            <w:r>
              <w:rPr>
                <w:sz w:val="28"/>
                <w:szCs w:val="28"/>
              </w:rPr>
              <w:t xml:space="preserve">- Kế thừa tối đa và tập hợp đánh giá, phân tích, kiểm chứng để sử dụng các nguồn tài liệu, số liệu từ những công trình có liên quan đến Địa chí Ninh Thuận đã được thực hiện trước đây. </w:t>
            </w:r>
          </w:p>
          <w:p w:rsidR="005A059D" w:rsidRDefault="005A059D" w:rsidP="005A059D">
            <w:pPr>
              <w:jc w:val="both"/>
              <w:rPr>
                <w:sz w:val="28"/>
                <w:szCs w:val="28"/>
              </w:rPr>
            </w:pPr>
            <w:r>
              <w:rPr>
                <w:sz w:val="28"/>
                <w:szCs w:val="28"/>
              </w:rPr>
              <w:t>- Tiến hành thu thập và cập nhật các nguồn tư liệu, tài liệu, số liệu mới phục vụ cho việc triển khai nghiên cứu, biên soạn mới Địa chí Ninh Thuận theo cấu trúc và phương pháp biên soạn, quy chuẩn về địa phương chí và có sự gắn kết chặt chẽ với Địa chí Quốc gia.</w:t>
            </w:r>
          </w:p>
          <w:p w:rsidR="005A059D" w:rsidRDefault="005A059D" w:rsidP="005A059D">
            <w:pPr>
              <w:jc w:val="both"/>
              <w:rPr>
                <w:sz w:val="28"/>
                <w:szCs w:val="28"/>
              </w:rPr>
            </w:pPr>
            <w:r>
              <w:rPr>
                <w:sz w:val="28"/>
                <w:szCs w:val="28"/>
              </w:rPr>
              <w:t xml:space="preserve">- Xuất bản Địa chí Ninh Thuận (bản giấy). </w:t>
            </w:r>
          </w:p>
          <w:p w:rsidR="005A059D" w:rsidRPr="00770110" w:rsidRDefault="005A059D" w:rsidP="005A059D">
            <w:pPr>
              <w:jc w:val="both"/>
              <w:rPr>
                <w:bCs/>
                <w:spacing w:val="-4"/>
                <w:position w:val="-2"/>
                <w:sz w:val="28"/>
                <w:szCs w:val="28"/>
                <w:lang w:val="it-IT"/>
              </w:rPr>
            </w:pPr>
            <w:r>
              <w:rPr>
                <w:sz w:val="28"/>
                <w:szCs w:val="28"/>
              </w:rPr>
              <w:t xml:space="preserve">- Số hóa dữ liệu, xây dựng bản điện tử (ebook) phục vụ truy cập, khai thác trực tuyến.         </w:t>
            </w:r>
          </w:p>
        </w:tc>
        <w:tc>
          <w:tcPr>
            <w:tcW w:w="1141" w:type="pct"/>
            <w:tcBorders>
              <w:top w:val="single" w:sz="4" w:space="0" w:color="auto"/>
              <w:bottom w:val="single" w:sz="4" w:space="0" w:color="auto"/>
            </w:tcBorders>
            <w:vAlign w:val="center"/>
          </w:tcPr>
          <w:p w:rsidR="005A059D" w:rsidRDefault="005A059D" w:rsidP="005A059D">
            <w:pPr>
              <w:jc w:val="both"/>
              <w:rPr>
                <w:sz w:val="28"/>
                <w:szCs w:val="28"/>
              </w:rPr>
            </w:pPr>
            <w:r>
              <w:rPr>
                <w:sz w:val="28"/>
                <w:szCs w:val="28"/>
              </w:rPr>
              <w:t xml:space="preserve">- Bộ Địa chí Ninh Thuận được xuất bản chia thành 5 tập; đảm bảo tích hợp cơ cấu phù hợp các nội dung về: Địa lý,  Hành chính, Lịch sử, Kinh tế, Văn hóa, Xã hội, Tư tưởng, An ninh, Quốc phòng và Phần tổng hợp thông tin của toàn bộ các nội dung (Tổng số trang của Địa chí Ninh Thuận: dự kiến từ 1750 trang - 1800 trang). </w:t>
            </w:r>
          </w:p>
          <w:p w:rsidR="005A059D" w:rsidRDefault="005A059D" w:rsidP="005A059D">
            <w:pPr>
              <w:jc w:val="both"/>
              <w:rPr>
                <w:sz w:val="28"/>
                <w:szCs w:val="28"/>
              </w:rPr>
            </w:pPr>
            <w:r>
              <w:rPr>
                <w:sz w:val="28"/>
                <w:szCs w:val="28"/>
              </w:rPr>
              <w:t>- Số hóa bộ Địa chí Ninh Thuận (bao gồm: Toàn bộ tư liệu, tài liệu, số liệu đã</w:t>
            </w:r>
            <w:r>
              <w:rPr>
                <w:spacing w:val="-4"/>
                <w:sz w:val="28"/>
                <w:szCs w:val="28"/>
                <w:lang w:val="nl-NL"/>
              </w:rPr>
              <w:t xml:space="preserve"> được thu thập, được số hóa), công cụ khai thác trực tuyến.</w:t>
            </w:r>
            <w:r>
              <w:rPr>
                <w:sz w:val="28"/>
                <w:szCs w:val="28"/>
              </w:rPr>
              <w:t xml:space="preserve">   </w:t>
            </w:r>
          </w:p>
        </w:tc>
        <w:tc>
          <w:tcPr>
            <w:tcW w:w="590" w:type="pct"/>
            <w:tcBorders>
              <w:bottom w:val="single" w:sz="4" w:space="0" w:color="auto"/>
            </w:tcBorders>
            <w:shd w:val="clear" w:color="auto" w:fill="auto"/>
            <w:vAlign w:val="center"/>
          </w:tcPr>
          <w:p w:rsidR="005A059D" w:rsidRDefault="005A059D" w:rsidP="005A059D">
            <w:pPr>
              <w:pStyle w:val="ListParagraph"/>
              <w:ind w:left="0"/>
              <w:jc w:val="both"/>
              <w:rPr>
                <w:rFonts w:ascii="Times New Roman" w:hAnsi="Times New Roman"/>
                <w:bCs/>
              </w:rPr>
            </w:pPr>
            <w:r>
              <w:rPr>
                <w:rFonts w:ascii="Times New Roman" w:hAnsi="Times New Roman"/>
                <w:bCs/>
              </w:rPr>
              <w:t>Tuyển chọn tổ chức chủ trì, cá nhân chủ nhiệm</w:t>
            </w:r>
          </w:p>
        </w:tc>
      </w:tr>
    </w:tbl>
    <w:p w:rsidR="009804E1" w:rsidRDefault="009804E1" w:rsidP="009804E1"/>
    <w:bookmarkEnd w:id="0"/>
    <w:p w:rsidR="004A143C" w:rsidRDefault="004A143C"/>
    <w:sectPr w:rsidR="004A143C" w:rsidSect="008218A9">
      <w:pgSz w:w="16840" w:h="11907" w:orient="landscape" w:code="9"/>
      <w:pgMar w:top="567" w:right="794"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E1"/>
    <w:rsid w:val="00135110"/>
    <w:rsid w:val="001368A8"/>
    <w:rsid w:val="0019642F"/>
    <w:rsid w:val="001A2924"/>
    <w:rsid w:val="0020000E"/>
    <w:rsid w:val="002852F5"/>
    <w:rsid w:val="003351B9"/>
    <w:rsid w:val="003C20F1"/>
    <w:rsid w:val="004A143C"/>
    <w:rsid w:val="005A059D"/>
    <w:rsid w:val="00654283"/>
    <w:rsid w:val="006855FF"/>
    <w:rsid w:val="006B505F"/>
    <w:rsid w:val="007644C9"/>
    <w:rsid w:val="0079513B"/>
    <w:rsid w:val="007C026D"/>
    <w:rsid w:val="007C11CA"/>
    <w:rsid w:val="008346D4"/>
    <w:rsid w:val="008C39EC"/>
    <w:rsid w:val="008C71F9"/>
    <w:rsid w:val="008C7384"/>
    <w:rsid w:val="00932A50"/>
    <w:rsid w:val="0093799A"/>
    <w:rsid w:val="009645D2"/>
    <w:rsid w:val="009804E1"/>
    <w:rsid w:val="00995827"/>
    <w:rsid w:val="00B360A9"/>
    <w:rsid w:val="00C15ACC"/>
    <w:rsid w:val="00CB756A"/>
    <w:rsid w:val="00D22D1C"/>
    <w:rsid w:val="00D2592B"/>
    <w:rsid w:val="00DD1CF7"/>
    <w:rsid w:val="00DD303D"/>
    <w:rsid w:val="00E12FCF"/>
    <w:rsid w:val="00E37F46"/>
    <w:rsid w:val="00E74F51"/>
    <w:rsid w:val="00EA11D6"/>
    <w:rsid w:val="00F16EF2"/>
    <w:rsid w:val="00F622C7"/>
    <w:rsid w:val="00F7343F"/>
    <w:rsid w:val="00FB698C"/>
    <w:rsid w:val="00FB7FCE"/>
    <w:rsid w:val="00FC2886"/>
    <w:rsid w:val="00FC50DE"/>
    <w:rsid w:val="00FD23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E1"/>
    <w:rPr>
      <w:rFonts w:eastAsia="Calibri"/>
    </w:rPr>
  </w:style>
  <w:style w:type="paragraph" w:styleId="Heading1">
    <w:name w:val="heading 1"/>
    <w:basedOn w:val="Normal"/>
    <w:next w:val="Normal"/>
    <w:link w:val="Heading1Char"/>
    <w:uiPriority w:val="9"/>
    <w:qFormat/>
    <w:rsid w:val="009804E1"/>
    <w:pPr>
      <w:keepNext/>
      <w:keepLines/>
      <w:spacing w:before="480"/>
      <w:outlineLvl w:val="0"/>
    </w:pPr>
    <w:rPr>
      <w:rFonts w:ascii="Cambria" w:eastAsia="Times New Roman" w:hAnsi="Cambria"/>
      <w:b/>
      <w:color w:val="365F91"/>
      <w:sz w:val="28"/>
      <w:szCs w:val="28"/>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link w:val="ListParagraphChar"/>
    <w:qFormat/>
    <w:rsid w:val="00FB698C"/>
    <w:pPr>
      <w:ind w:left="720"/>
      <w:contextualSpacing/>
    </w:pPr>
    <w:rPr>
      <w:rFonts w:ascii=".VnTime" w:eastAsia="Times New Roman" w:hAnsi=".VnTime"/>
      <w:sz w:val="28"/>
      <w:szCs w:val="28"/>
    </w:rPr>
  </w:style>
  <w:style w:type="character" w:customStyle="1" w:styleId="Heading1Char">
    <w:name w:val="Heading 1 Char"/>
    <w:basedOn w:val="DefaultParagraphFont"/>
    <w:link w:val="Heading1"/>
    <w:uiPriority w:val="9"/>
    <w:rsid w:val="009804E1"/>
    <w:rPr>
      <w:rFonts w:ascii="Cambria" w:hAnsi="Cambria"/>
      <w:b/>
      <w:color w:val="365F91"/>
      <w:sz w:val="28"/>
      <w:szCs w:val="28"/>
    </w:rPr>
  </w:style>
  <w:style w:type="paragraph" w:customStyle="1" w:styleId="Giua">
    <w:name w:val="Giua"/>
    <w:basedOn w:val="Normal"/>
    <w:autoRedefine/>
    <w:rsid w:val="00F16EF2"/>
    <w:pPr>
      <w:jc w:val="center"/>
    </w:pPr>
    <w:rPr>
      <w:i/>
      <w:sz w:val="28"/>
      <w:szCs w:val="28"/>
    </w:rPr>
  </w:style>
  <w:style w:type="paragraph" w:styleId="NormalWeb">
    <w:name w:val="Normal (Web)"/>
    <w:basedOn w:val="Normal"/>
    <w:uiPriority w:val="99"/>
    <w:unhideWhenUsed/>
    <w:rsid w:val="009804E1"/>
    <w:pPr>
      <w:spacing w:before="100" w:beforeAutospacing="1" w:after="100" w:afterAutospacing="1"/>
    </w:pPr>
    <w:rPr>
      <w:rFonts w:eastAsia="Times New Roman"/>
      <w:sz w:val="24"/>
      <w:szCs w:val="24"/>
    </w:rPr>
  </w:style>
  <w:style w:type="character" w:customStyle="1" w:styleId="ListParagraphChar">
    <w:name w:val="List Paragraph Char"/>
    <w:link w:val="ListParagraph"/>
    <w:locked/>
    <w:rsid w:val="009804E1"/>
    <w:rPr>
      <w:rFonts w:ascii=".VnTime" w:hAnsi=".VnTime"/>
      <w:sz w:val="28"/>
      <w:szCs w:val="28"/>
    </w:rPr>
  </w:style>
  <w:style w:type="paragraph" w:styleId="NoSpacing">
    <w:name w:val="No Spacing"/>
    <w:uiPriority w:val="1"/>
    <w:qFormat/>
    <w:rsid w:val="008346D4"/>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E1"/>
    <w:rPr>
      <w:rFonts w:eastAsia="Calibri"/>
    </w:rPr>
  </w:style>
  <w:style w:type="paragraph" w:styleId="Heading1">
    <w:name w:val="heading 1"/>
    <w:basedOn w:val="Normal"/>
    <w:next w:val="Normal"/>
    <w:link w:val="Heading1Char"/>
    <w:uiPriority w:val="9"/>
    <w:qFormat/>
    <w:rsid w:val="009804E1"/>
    <w:pPr>
      <w:keepNext/>
      <w:keepLines/>
      <w:spacing w:before="480"/>
      <w:outlineLvl w:val="0"/>
    </w:pPr>
    <w:rPr>
      <w:rFonts w:ascii="Cambria" w:eastAsia="Times New Roman" w:hAnsi="Cambria"/>
      <w:b/>
      <w:color w:val="365F91"/>
      <w:sz w:val="28"/>
      <w:szCs w:val="28"/>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link w:val="ListParagraphChar"/>
    <w:qFormat/>
    <w:rsid w:val="00FB698C"/>
    <w:pPr>
      <w:ind w:left="720"/>
      <w:contextualSpacing/>
    </w:pPr>
    <w:rPr>
      <w:rFonts w:ascii=".VnTime" w:eastAsia="Times New Roman" w:hAnsi=".VnTime"/>
      <w:sz w:val="28"/>
      <w:szCs w:val="28"/>
    </w:rPr>
  </w:style>
  <w:style w:type="character" w:customStyle="1" w:styleId="Heading1Char">
    <w:name w:val="Heading 1 Char"/>
    <w:basedOn w:val="DefaultParagraphFont"/>
    <w:link w:val="Heading1"/>
    <w:uiPriority w:val="9"/>
    <w:rsid w:val="009804E1"/>
    <w:rPr>
      <w:rFonts w:ascii="Cambria" w:hAnsi="Cambria"/>
      <w:b/>
      <w:color w:val="365F91"/>
      <w:sz w:val="28"/>
      <w:szCs w:val="28"/>
    </w:rPr>
  </w:style>
  <w:style w:type="paragraph" w:customStyle="1" w:styleId="Giua">
    <w:name w:val="Giua"/>
    <w:basedOn w:val="Normal"/>
    <w:autoRedefine/>
    <w:rsid w:val="00F16EF2"/>
    <w:pPr>
      <w:jc w:val="center"/>
    </w:pPr>
    <w:rPr>
      <w:i/>
      <w:sz w:val="28"/>
      <w:szCs w:val="28"/>
    </w:rPr>
  </w:style>
  <w:style w:type="paragraph" w:styleId="NormalWeb">
    <w:name w:val="Normal (Web)"/>
    <w:basedOn w:val="Normal"/>
    <w:uiPriority w:val="99"/>
    <w:unhideWhenUsed/>
    <w:rsid w:val="009804E1"/>
    <w:pPr>
      <w:spacing w:before="100" w:beforeAutospacing="1" w:after="100" w:afterAutospacing="1"/>
    </w:pPr>
    <w:rPr>
      <w:rFonts w:eastAsia="Times New Roman"/>
      <w:sz w:val="24"/>
      <w:szCs w:val="24"/>
    </w:rPr>
  </w:style>
  <w:style w:type="character" w:customStyle="1" w:styleId="ListParagraphChar">
    <w:name w:val="List Paragraph Char"/>
    <w:link w:val="ListParagraph"/>
    <w:locked/>
    <w:rsid w:val="009804E1"/>
    <w:rPr>
      <w:rFonts w:ascii=".VnTime" w:hAnsi=".VnTime"/>
      <w:sz w:val="28"/>
      <w:szCs w:val="28"/>
    </w:rPr>
  </w:style>
  <w:style w:type="paragraph" w:styleId="NoSpacing">
    <w:name w:val="No Spacing"/>
    <w:uiPriority w:val="1"/>
    <w:qFormat/>
    <w:rsid w:val="008346D4"/>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0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071C9DA-7CD7-49A5-8F0C-3BA2437619AE}"/>
</file>

<file path=customXml/itemProps2.xml><?xml version="1.0" encoding="utf-8"?>
<ds:datastoreItem xmlns:ds="http://schemas.openxmlformats.org/officeDocument/2006/customXml" ds:itemID="{DEB49971-05F4-4E4A-9859-CB06610BABA7}"/>
</file>

<file path=customXml/itemProps3.xml><?xml version="1.0" encoding="utf-8"?>
<ds:datastoreItem xmlns:ds="http://schemas.openxmlformats.org/officeDocument/2006/customXml" ds:itemID="{A02BB089-DF18-42CD-8EAB-19AD6C21C688}"/>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Phòng Quản lý Khoa học - Sở Khoa học và Công nghệ</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Admin</cp:lastModifiedBy>
  <cp:revision>5</cp:revision>
  <dcterms:created xsi:type="dcterms:W3CDTF">2023-02-16T10:36:00Z</dcterms:created>
  <dcterms:modified xsi:type="dcterms:W3CDTF">2023-02-17T01:57:00Z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